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2E" w:rsidRPr="00AA7A2E" w:rsidRDefault="00AA7A2E" w:rsidP="00A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7A2E" w:rsidRPr="00AA7A2E" w:rsidRDefault="00AA7A2E" w:rsidP="00A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2E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AA7A2E" w:rsidRPr="00AA7A2E" w:rsidRDefault="00AA7A2E" w:rsidP="00A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2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A7A2E" w:rsidRPr="00AA7A2E" w:rsidRDefault="00AA7A2E" w:rsidP="00AA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68C" w:rsidRPr="004C168C" w:rsidRDefault="004C168C" w:rsidP="00AA7A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68C">
        <w:rPr>
          <w:rFonts w:ascii="Times New Roman" w:hAnsi="Times New Roman" w:cs="Times New Roman"/>
          <w:sz w:val="28"/>
          <w:szCs w:val="28"/>
          <w:u w:val="single"/>
        </w:rPr>
        <w:t>от 21.12.2023 №27</w:t>
      </w:r>
    </w:p>
    <w:p w:rsidR="00AA7A2E" w:rsidRPr="00AA7A2E" w:rsidRDefault="00AA7A2E" w:rsidP="00AA7A2E">
      <w:pPr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AA7A2E" w:rsidRDefault="00AA7A2E" w:rsidP="00AA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AA7A2E" w:rsidRDefault="00F663EC" w:rsidP="00AA7A2E">
      <w:pPr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</w:t>
      </w:r>
      <w:r w:rsidR="00692938" w:rsidRPr="00AA7A2E">
        <w:rPr>
          <w:rFonts w:ascii="Times New Roman" w:hAnsi="Times New Roman" w:cs="Times New Roman"/>
          <w:sz w:val="28"/>
          <w:szCs w:val="28"/>
        </w:rPr>
        <w:t>Петров</w:t>
      </w:r>
      <w:r w:rsidRPr="00AA7A2E">
        <w:rPr>
          <w:rFonts w:ascii="Times New Roman" w:hAnsi="Times New Roman" w:cs="Times New Roman"/>
          <w:sz w:val="28"/>
          <w:szCs w:val="28"/>
        </w:rPr>
        <w:t>ский сельсовет» Черемисиновского района Курской области на 2024-2031 годы</w:t>
      </w:r>
    </w:p>
    <w:p w:rsidR="00AA7A2E" w:rsidRDefault="00AA7A2E" w:rsidP="00AA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AA7A2E" w:rsidRDefault="00F663EC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AA7A2E" w:rsidRDefault="00F663EC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1.</w:t>
      </w:r>
      <w:r w:rsidR="004C168C">
        <w:rPr>
          <w:rFonts w:ascii="Times New Roman" w:hAnsi="Times New Roman" w:cs="Times New Roman"/>
          <w:sz w:val="28"/>
          <w:szCs w:val="28"/>
        </w:rPr>
        <w:t xml:space="preserve"> </w:t>
      </w:r>
      <w:r w:rsidRPr="00AA7A2E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692938" w:rsidRPr="00AA7A2E">
        <w:rPr>
          <w:rFonts w:ascii="Times New Roman" w:hAnsi="Times New Roman" w:cs="Times New Roman"/>
          <w:sz w:val="28"/>
          <w:szCs w:val="28"/>
        </w:rPr>
        <w:t>Петров</w:t>
      </w:r>
      <w:r w:rsidR="00FE0EF7" w:rsidRPr="00AA7A2E">
        <w:rPr>
          <w:rFonts w:ascii="Times New Roman" w:hAnsi="Times New Roman" w:cs="Times New Roman"/>
          <w:sz w:val="28"/>
          <w:szCs w:val="28"/>
        </w:rPr>
        <w:t>с</w:t>
      </w:r>
      <w:r w:rsidRPr="00AA7A2E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AA7A2E" w:rsidRDefault="00F663EC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2.</w:t>
      </w:r>
      <w:r w:rsidR="004C168C">
        <w:rPr>
          <w:rFonts w:ascii="Times New Roman" w:hAnsi="Times New Roman" w:cs="Times New Roman"/>
          <w:sz w:val="28"/>
          <w:szCs w:val="28"/>
        </w:rPr>
        <w:t xml:space="preserve"> </w:t>
      </w:r>
      <w:r w:rsidRPr="00AA7A2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AA7A2E" w:rsidRDefault="00F663EC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3.</w:t>
      </w:r>
      <w:r w:rsidR="004C168C">
        <w:rPr>
          <w:rFonts w:ascii="Times New Roman" w:hAnsi="Times New Roman" w:cs="Times New Roman"/>
          <w:sz w:val="28"/>
          <w:szCs w:val="28"/>
        </w:rPr>
        <w:t xml:space="preserve"> </w:t>
      </w:r>
      <w:r w:rsidRPr="00AA7A2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AA7A2E" w:rsidRDefault="00F663EC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663EC" w:rsidRPr="00AA7A2E" w:rsidSect="00AA7A2E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A7A2E">
        <w:rPr>
          <w:rFonts w:ascii="Times New Roman" w:hAnsi="Times New Roman" w:cs="Times New Roman"/>
          <w:sz w:val="28"/>
          <w:szCs w:val="28"/>
        </w:rPr>
        <w:t>4.</w:t>
      </w:r>
      <w:r w:rsidR="004C168C">
        <w:rPr>
          <w:rFonts w:ascii="Times New Roman" w:hAnsi="Times New Roman" w:cs="Times New Roman"/>
          <w:sz w:val="28"/>
          <w:szCs w:val="28"/>
        </w:rPr>
        <w:t xml:space="preserve"> </w:t>
      </w:r>
      <w:r w:rsidRPr="00AA7A2E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AA7A2E" w:rsidRDefault="00F663EC" w:rsidP="00AA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A2E" w:rsidRPr="00AA7A2E" w:rsidRDefault="00AA7A2E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AA7A2E" w:rsidRPr="00AA7A2E" w:rsidRDefault="00AA7A2E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AA7A2E" w:rsidRPr="00AA7A2E" w:rsidRDefault="00AA7A2E" w:rsidP="00AA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A2E" w:rsidRPr="00AA7A2E" w:rsidRDefault="00AA7A2E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AA7A2E" w:rsidRPr="00AA7A2E" w:rsidRDefault="00AA7A2E" w:rsidP="00AA7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A2E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7A2E">
        <w:rPr>
          <w:rFonts w:ascii="Times New Roman" w:hAnsi="Times New Roman" w:cs="Times New Roman"/>
          <w:sz w:val="28"/>
          <w:szCs w:val="28"/>
        </w:rPr>
        <w:tab/>
      </w:r>
      <w:r w:rsidRPr="00AA7A2E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AA7A2E" w:rsidRPr="005542B2" w:rsidRDefault="00AA7A2E" w:rsidP="00AA7A2E">
      <w:pPr>
        <w:ind w:left="4248" w:firstLine="708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094E82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Черемисиновского района</w:t>
      </w:r>
    </w:p>
    <w:p w:rsidR="006D01D9" w:rsidRPr="00FA1238" w:rsidRDefault="00094E82" w:rsidP="006D01D9">
      <w:pPr>
        <w:pStyle w:val="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  <w:r w:rsidR="006D01D9" w:rsidRPr="00FA1238">
        <w:rPr>
          <w:b w:val="0"/>
          <w:sz w:val="28"/>
          <w:szCs w:val="28"/>
        </w:rPr>
        <w:t xml:space="preserve">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4C168C">
        <w:rPr>
          <w:b w:val="0"/>
          <w:sz w:val="28"/>
          <w:szCs w:val="28"/>
        </w:rPr>
        <w:t xml:space="preserve">21.12.2023 </w:t>
      </w:r>
      <w:r>
        <w:rPr>
          <w:b w:val="0"/>
          <w:sz w:val="28"/>
          <w:szCs w:val="28"/>
        </w:rPr>
        <w:t>№</w:t>
      </w:r>
      <w:r w:rsidR="004C168C">
        <w:rPr>
          <w:b w:val="0"/>
          <w:sz w:val="28"/>
          <w:szCs w:val="28"/>
        </w:rPr>
        <w:t>27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692938">
        <w:rPr>
          <w:b/>
          <w:szCs w:val="28"/>
        </w:rPr>
        <w:t>Петров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4C168C" w:rsidRDefault="004C168C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6156C3" w:rsidRPr="00BE619B" w:rsidRDefault="00BE619B" w:rsidP="00BE619B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BE619B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комплексного развития систем коммунальной инфраструктуры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муниципального образования «</w:t>
      </w:r>
      <w:r w:rsidR="00692938">
        <w:rPr>
          <w:b/>
          <w:szCs w:val="28"/>
        </w:rPr>
        <w:t>Петров</w:t>
      </w:r>
      <w:r w:rsidRPr="00BE619B">
        <w:rPr>
          <w:b/>
          <w:szCs w:val="28"/>
        </w:rPr>
        <w:t>ский сельсовет»</w:t>
      </w:r>
    </w:p>
    <w:p w:rsidR="006156C3" w:rsidRPr="00BE619B" w:rsidRDefault="006156C3" w:rsidP="00BE619B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BE619B">
        <w:rPr>
          <w:b/>
          <w:szCs w:val="28"/>
        </w:rPr>
        <w:t>Черемисиновского района</w:t>
      </w:r>
    </w:p>
    <w:p w:rsidR="006156C3" w:rsidRPr="00BE619B" w:rsidRDefault="006156C3" w:rsidP="00BE619B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BE619B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692938">
              <w:rPr>
                <w:rStyle w:val="13"/>
                <w:rFonts w:eastAsia="Courier New"/>
                <w:sz w:val="22"/>
                <w:szCs w:val="22"/>
              </w:rPr>
              <w:t>Петров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BE619B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BE619B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692938">
              <w:rPr>
                <w:rStyle w:val="13"/>
                <w:rFonts w:eastAsia="Courier New"/>
                <w:sz w:val="22"/>
                <w:szCs w:val="22"/>
              </w:rPr>
              <w:t>Петров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ие энергоемкости жилищно-коммунального хозяйства;</w:t>
            </w:r>
          </w:p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</w:t>
            </w:r>
            <w:r w:rsidR="00692938">
              <w:rPr>
                <w:rStyle w:val="13"/>
                <w:sz w:val="22"/>
                <w:szCs w:val="22"/>
              </w:rPr>
              <w:t>Петров</w:t>
            </w:r>
            <w:r w:rsidRPr="00EE07A8">
              <w:rPr>
                <w:rStyle w:val="13"/>
                <w:sz w:val="22"/>
                <w:szCs w:val="22"/>
              </w:rPr>
              <w:t>ие износа коммунальной инфраструктуры;</w:t>
            </w:r>
          </w:p>
        </w:tc>
      </w:tr>
      <w:tr w:rsidR="00FE0EF7" w:rsidTr="00BE619B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BE619B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BE619B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BE619B" w:rsidRDefault="00BE619B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A86567">
              <w:rPr>
                <w:sz w:val="24"/>
                <w:szCs w:val="24"/>
                <w:lang w:bidi="ar-SA"/>
              </w:rPr>
              <w:t xml:space="preserve">420,00 </w:t>
            </w:r>
            <w:r w:rsidR="00840E98">
              <w:rPr>
                <w:sz w:val="24"/>
                <w:szCs w:val="24"/>
                <w:lang w:bidi="ar-SA"/>
              </w:rPr>
              <w:t>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BE619B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BE619B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692938">
        <w:rPr>
          <w:rStyle w:val="13"/>
          <w:rFonts w:eastAsia="Courier New"/>
          <w:sz w:val="24"/>
          <w:szCs w:val="24"/>
        </w:rPr>
        <w:t>Петров</w:t>
      </w:r>
      <w:r w:rsidR="00EE07A8" w:rsidRPr="00F804DC">
        <w:rPr>
          <w:rStyle w:val="13"/>
          <w:rFonts w:eastAsia="Courier New"/>
          <w:sz w:val="24"/>
          <w:szCs w:val="24"/>
        </w:rPr>
        <w:t>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</w:t>
      </w:r>
      <w:r w:rsidR="003F1EC4">
        <w:rPr>
          <w:sz w:val="24"/>
          <w:szCs w:val="24"/>
        </w:rPr>
        <w:t>едерации от 29.12.2004 № 190-ФЗ;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</w:t>
      </w:r>
      <w:r w:rsidR="003F1EC4">
        <w:rPr>
          <w:sz w:val="24"/>
          <w:szCs w:val="24"/>
        </w:rPr>
        <w:t>ления в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</w:t>
      </w:r>
      <w:r w:rsidR="003F1EC4">
        <w:rPr>
          <w:sz w:val="24"/>
          <w:szCs w:val="24"/>
        </w:rPr>
        <w:t>ьные акты Российской Федерации»;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  <w:r w:rsidR="003F1EC4">
        <w:rPr>
          <w:sz w:val="24"/>
          <w:szCs w:val="24"/>
        </w:rPr>
        <w:t>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3F1EC4">
        <w:rPr>
          <w:sz w:val="24"/>
          <w:szCs w:val="24"/>
        </w:rPr>
        <w:t>;</w:t>
      </w:r>
    </w:p>
    <w:p w:rsidR="002A60BF" w:rsidRPr="00F804DC" w:rsidRDefault="006270D7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="00692938">
        <w:rPr>
          <w:rStyle w:val="13"/>
          <w:rFonts w:eastAsia="Courier New"/>
          <w:sz w:val="24"/>
          <w:szCs w:val="24"/>
        </w:rPr>
        <w:t>Петров</w:t>
      </w:r>
      <w:r w:rsidRPr="00F804DC">
        <w:rPr>
          <w:rStyle w:val="13"/>
          <w:rFonts w:eastAsia="Courier New"/>
          <w:sz w:val="24"/>
          <w:szCs w:val="24"/>
        </w:rPr>
        <w:t>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" w:firstLine="567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BE619B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lastRenderedPageBreak/>
        <w:t>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692938">
        <w:rPr>
          <w:rFonts w:ascii="Times New Roman" w:hAnsi="Times New Roman" w:cs="Times New Roman"/>
        </w:rPr>
        <w:t>1</w:t>
      </w:r>
      <w:r w:rsidRPr="00F804DC">
        <w:rPr>
          <w:rFonts w:ascii="Times New Roman" w:hAnsi="Times New Roman" w:cs="Times New Roman"/>
        </w:rPr>
        <w:t xml:space="preserve"> населенны</w:t>
      </w:r>
      <w:r w:rsidR="00692938">
        <w:rPr>
          <w:rFonts w:ascii="Times New Roman" w:hAnsi="Times New Roman" w:cs="Times New Roman"/>
        </w:rPr>
        <w:t>й</w:t>
      </w:r>
      <w:r w:rsidRPr="00F804DC">
        <w:rPr>
          <w:rFonts w:ascii="Times New Roman" w:hAnsi="Times New Roman" w:cs="Times New Roman"/>
        </w:rPr>
        <w:t xml:space="preserve"> пункт</w:t>
      </w:r>
      <w:r w:rsidR="00692938">
        <w:rPr>
          <w:rFonts w:ascii="Times New Roman" w:hAnsi="Times New Roman" w:cs="Times New Roman"/>
        </w:rPr>
        <w:t xml:space="preserve"> с.Петрово-Хутарь, который  и является ц</w:t>
      </w:r>
      <w:r w:rsidRPr="00F804DC">
        <w:rPr>
          <w:rFonts w:ascii="Times New Roman" w:hAnsi="Times New Roman" w:cs="Times New Roman"/>
        </w:rPr>
        <w:t>ентром муниципального образования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="00692938">
        <w:rPr>
          <w:rFonts w:ascii="Times New Roman" w:hAnsi="Times New Roman" w:cs="Times New Roman"/>
        </w:rPr>
        <w:t>.</w:t>
      </w:r>
      <w:r w:rsidRPr="00F804DC">
        <w:rPr>
          <w:rFonts w:ascii="Times New Roman" w:hAnsi="Times New Roman" w:cs="Times New Roman"/>
        </w:rPr>
        <w:t xml:space="preserve">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 xml:space="preserve">3 года составила </w:t>
      </w:r>
      <w:r w:rsidR="00692938">
        <w:rPr>
          <w:rFonts w:ascii="Times New Roman" w:hAnsi="Times New Roman" w:cs="Times New Roman"/>
        </w:rPr>
        <w:t>264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692938">
        <w:rPr>
          <w:rFonts w:ascii="Times New Roman" w:hAnsi="Times New Roman" w:cs="Times New Roman"/>
        </w:rPr>
        <w:t>Петров</w:t>
      </w:r>
      <w:r w:rsidRPr="00F804DC">
        <w:rPr>
          <w:rFonts w:ascii="Times New Roman" w:hAnsi="Times New Roman" w:cs="Times New Roman"/>
        </w:rPr>
        <w:t>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r w:rsidR="00692938">
        <w:rPr>
          <w:rFonts w:ascii="Times New Roman" w:hAnsi="Times New Roman" w:cs="Times New Roman"/>
        </w:rPr>
        <w:t>с.Петрово-Хутарь</w:t>
      </w:r>
      <w:r w:rsidR="00692938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>с</w:t>
      </w:r>
      <w:r w:rsidR="006E740F">
        <w:rPr>
          <w:rFonts w:ascii="Times New Roman" w:hAnsi="Times New Roman" w:cs="Times New Roman"/>
        </w:rPr>
        <w:t xml:space="preserve"> районным центром п.Черемисиново и</w:t>
      </w:r>
      <w:r w:rsidRPr="00F804DC">
        <w:rPr>
          <w:rFonts w:ascii="Times New Roman" w:hAnsi="Times New Roman" w:cs="Times New Roman"/>
        </w:rPr>
        <w:t xml:space="preserve"> областным центром г.Курск.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</w:t>
      </w:r>
      <w:r w:rsidR="00692938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ие энергоемкости жилищно-коммунального хозяйства; с</w:t>
      </w:r>
      <w:r w:rsidR="00692938">
        <w:rPr>
          <w:sz w:val="24"/>
          <w:szCs w:val="24"/>
        </w:rPr>
        <w:t>нижен</w:t>
      </w:r>
      <w:r w:rsidRPr="00F804DC">
        <w:rPr>
          <w:sz w:val="24"/>
          <w:szCs w:val="24"/>
        </w:rPr>
        <w:t>ия износа коммунальной инфраструктуры.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567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сельсовета организовано от: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</w:t>
      </w:r>
      <w:r w:rsidR="00692938">
        <w:rPr>
          <w:rFonts w:ascii="Times New Roman" w:hAnsi="Times New Roman" w:cs="Times New Roman"/>
        </w:rPr>
        <w:t>ой</w:t>
      </w:r>
      <w:r w:rsidRPr="00F804DC">
        <w:rPr>
          <w:rFonts w:ascii="Times New Roman" w:hAnsi="Times New Roman" w:cs="Times New Roman"/>
        </w:rPr>
        <w:t xml:space="preserve"> систем</w:t>
      </w:r>
      <w:r w:rsidR="00692938">
        <w:rPr>
          <w:rFonts w:ascii="Times New Roman" w:hAnsi="Times New Roman" w:cs="Times New Roman"/>
        </w:rPr>
        <w:t>ы</w:t>
      </w:r>
      <w:r w:rsidRPr="00F804DC">
        <w:rPr>
          <w:rFonts w:ascii="Times New Roman" w:hAnsi="Times New Roman" w:cs="Times New Roman"/>
        </w:rPr>
        <w:t xml:space="preserve">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</w:t>
      </w:r>
      <w:r w:rsidR="00692938">
        <w:rPr>
          <w:rFonts w:ascii="Times New Roman" w:hAnsi="Times New Roman" w:cs="Times New Roman"/>
        </w:rPr>
        <w:t>ая</w:t>
      </w:r>
      <w:r w:rsidRPr="00F804DC">
        <w:rPr>
          <w:rFonts w:ascii="Times New Roman" w:hAnsi="Times New Roman" w:cs="Times New Roman"/>
        </w:rPr>
        <w:t xml:space="preserve"> скважин</w:t>
      </w:r>
      <w:r w:rsidR="00692938">
        <w:rPr>
          <w:rFonts w:ascii="Times New Roman" w:hAnsi="Times New Roman" w:cs="Times New Roman"/>
        </w:rPr>
        <w:t>а</w:t>
      </w:r>
      <w:r w:rsidRPr="00F804DC">
        <w:rPr>
          <w:rFonts w:ascii="Times New Roman" w:hAnsi="Times New Roman" w:cs="Times New Roman"/>
        </w:rPr>
        <w:t>, расположенные на территории населенных пунктов.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 насос</w:t>
      </w:r>
      <w:r w:rsidR="00692938">
        <w:rPr>
          <w:rFonts w:ascii="Times New Roman" w:hAnsi="Times New Roman" w:cs="Times New Roman"/>
        </w:rPr>
        <w:t>о</w:t>
      </w:r>
      <w:r w:rsidRPr="00F804DC">
        <w:rPr>
          <w:rFonts w:ascii="Times New Roman" w:hAnsi="Times New Roman" w:cs="Times New Roman"/>
        </w:rPr>
        <w:t>м.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</w:t>
      </w:r>
      <w:r w:rsidR="00692938">
        <w:rPr>
          <w:rFonts w:ascii="Times New Roman" w:hAnsi="Times New Roman" w:cs="Times New Roman"/>
        </w:rPr>
        <w:t>1</w:t>
      </w:r>
      <w:r w:rsidRPr="00F804DC">
        <w:rPr>
          <w:rFonts w:ascii="Times New Roman" w:hAnsi="Times New Roman" w:cs="Times New Roman"/>
        </w:rPr>
        <w:t xml:space="preserve"> </w:t>
      </w:r>
      <w:r w:rsidR="00A663D3" w:rsidRPr="00F804DC">
        <w:rPr>
          <w:rFonts w:ascii="Times New Roman" w:hAnsi="Times New Roman" w:cs="Times New Roman"/>
        </w:rPr>
        <w:t>водозаборн</w:t>
      </w:r>
      <w:r w:rsidR="00692938">
        <w:rPr>
          <w:rFonts w:ascii="Times New Roman" w:hAnsi="Times New Roman" w:cs="Times New Roman"/>
        </w:rPr>
        <w:t xml:space="preserve">ая </w:t>
      </w:r>
      <w:r w:rsidRPr="00F804DC">
        <w:rPr>
          <w:rFonts w:ascii="Times New Roman" w:hAnsi="Times New Roman" w:cs="Times New Roman"/>
        </w:rPr>
        <w:t>скважин</w:t>
      </w:r>
      <w:r w:rsidR="00692938">
        <w:rPr>
          <w:rFonts w:ascii="Times New Roman" w:hAnsi="Times New Roman" w:cs="Times New Roman"/>
        </w:rPr>
        <w:t>а.</w:t>
      </w:r>
      <w:r w:rsidRPr="00F804DC">
        <w:rPr>
          <w:rFonts w:ascii="Times New Roman" w:hAnsi="Times New Roman" w:cs="Times New Roman"/>
        </w:rPr>
        <w:t xml:space="preserve">  Остановка работы действующ</w:t>
      </w:r>
      <w:r w:rsidR="00692938">
        <w:rPr>
          <w:rFonts w:ascii="Times New Roman" w:hAnsi="Times New Roman" w:cs="Times New Roman"/>
        </w:rPr>
        <w:t>ей</w:t>
      </w:r>
      <w:r w:rsidRPr="00F804DC">
        <w:rPr>
          <w:rFonts w:ascii="Times New Roman" w:hAnsi="Times New Roman" w:cs="Times New Roman"/>
        </w:rPr>
        <w:t xml:space="preserve"> скважин</w:t>
      </w:r>
      <w:r w:rsidR="00692938">
        <w:rPr>
          <w:rFonts w:ascii="Times New Roman" w:hAnsi="Times New Roman" w:cs="Times New Roman"/>
        </w:rPr>
        <w:t>ы</w:t>
      </w:r>
      <w:r w:rsidRPr="00F804DC">
        <w:rPr>
          <w:rFonts w:ascii="Times New Roman" w:hAnsi="Times New Roman" w:cs="Times New Roman"/>
        </w:rPr>
        <w:t xml:space="preserve"> производится для ремонта, дезинфекции и замены откачивающего оборудования.</w:t>
      </w:r>
    </w:p>
    <w:p w:rsidR="006065C6" w:rsidRPr="00F804DC" w:rsidRDefault="006065C6" w:rsidP="00BE619B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</w:t>
      </w:r>
      <w:r w:rsidR="00692938">
        <w:rPr>
          <w:rFonts w:ascii="Times New Roman" w:hAnsi="Times New Roman" w:cs="Times New Roman"/>
        </w:rPr>
        <w:t>а</w:t>
      </w:r>
      <w:r w:rsidRPr="00F804DC">
        <w:rPr>
          <w:rFonts w:ascii="Times New Roman" w:hAnsi="Times New Roman" w:cs="Times New Roman"/>
        </w:rPr>
        <w:t xml:space="preserve"> и водонапорн</w:t>
      </w:r>
      <w:r w:rsidR="00692938">
        <w:rPr>
          <w:rFonts w:ascii="Times New Roman" w:hAnsi="Times New Roman" w:cs="Times New Roman"/>
        </w:rPr>
        <w:t>ая башня</w:t>
      </w:r>
      <w:r w:rsidRPr="00F804DC">
        <w:rPr>
          <w:rFonts w:ascii="Times New Roman" w:hAnsi="Times New Roman" w:cs="Times New Roman"/>
        </w:rPr>
        <w:t>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>». Существующие водопроводные сети выполнены из разных материалов: сталь</w:t>
      </w:r>
      <w:r w:rsidR="00231990">
        <w:rPr>
          <w:sz w:val="24"/>
          <w:szCs w:val="24"/>
        </w:rPr>
        <w:t xml:space="preserve"> -</w:t>
      </w:r>
      <w:r w:rsidR="00231990" w:rsidRPr="00231990">
        <w:rPr>
          <w:sz w:val="24"/>
          <w:szCs w:val="24"/>
        </w:rPr>
        <w:t xml:space="preserve"> </w:t>
      </w:r>
      <w:r w:rsidR="00231990" w:rsidRPr="00F804DC">
        <w:rPr>
          <w:sz w:val="24"/>
          <w:szCs w:val="24"/>
        </w:rPr>
        <w:t>Ǿ</w:t>
      </w:r>
      <w:r w:rsidR="00231990">
        <w:rPr>
          <w:sz w:val="24"/>
          <w:szCs w:val="24"/>
        </w:rPr>
        <w:t xml:space="preserve"> 100м</w:t>
      </w:r>
      <w:r w:rsidRPr="00F804DC">
        <w:rPr>
          <w:sz w:val="24"/>
          <w:szCs w:val="24"/>
        </w:rPr>
        <w:t xml:space="preserve">, полиэтилен </w:t>
      </w:r>
      <w:r w:rsidR="00F00066" w:rsidRPr="00F804DC">
        <w:rPr>
          <w:sz w:val="24"/>
          <w:szCs w:val="24"/>
        </w:rPr>
        <w:t>Ǿ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BE619B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BE619B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16"/>
          <w:szCs w:val="16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20,69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8,0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3F1EC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6,854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264</w:t>
            </w:r>
          </w:p>
        </w:tc>
      </w:tr>
      <w:tr w:rsidR="006065C6" w:rsidTr="00BE619B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92938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692938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</w:t>
      </w:r>
      <w:r>
        <w:rPr>
          <w:rFonts w:ascii="Times New Roman" w:hAnsi="Times New Roman" w:cs="Times New Roman"/>
        </w:rPr>
        <w:t>объектов водоснабжения</w:t>
      </w:r>
      <w:r w:rsidR="003D11B2">
        <w:rPr>
          <w:rFonts w:ascii="Times New Roman" w:hAnsi="Times New Roman" w:cs="Times New Roman"/>
        </w:rPr>
        <w:t xml:space="preserve">: водозаборная скважина, водонапорная башня, водопровод </w:t>
      </w:r>
      <w:r>
        <w:rPr>
          <w:rFonts w:ascii="Times New Roman" w:hAnsi="Times New Roman" w:cs="Times New Roman"/>
        </w:rPr>
        <w:t>построен</w:t>
      </w:r>
      <w:r w:rsidR="003D11B2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период 2011-2013 годы, часть  </w:t>
      </w:r>
      <w:r w:rsidR="001A3279" w:rsidRPr="00F804DC">
        <w:rPr>
          <w:rFonts w:ascii="Times New Roman" w:hAnsi="Times New Roman" w:cs="Times New Roman"/>
        </w:rPr>
        <w:t xml:space="preserve">водопроводных сетей </w:t>
      </w:r>
      <w:r w:rsidR="008F4F31">
        <w:rPr>
          <w:rFonts w:ascii="Times New Roman" w:hAnsi="Times New Roman" w:cs="Times New Roman"/>
        </w:rPr>
        <w:t xml:space="preserve">3,357 км </w:t>
      </w:r>
      <w:r w:rsidR="001A3279" w:rsidRPr="00F804DC">
        <w:rPr>
          <w:rFonts w:ascii="Times New Roman" w:hAnsi="Times New Roman" w:cs="Times New Roman"/>
        </w:rPr>
        <w:t xml:space="preserve">построена в </w:t>
      </w:r>
      <w:r w:rsidR="00231990">
        <w:rPr>
          <w:rFonts w:ascii="Times New Roman" w:hAnsi="Times New Roman" w:cs="Times New Roman"/>
        </w:rPr>
        <w:t>80</w:t>
      </w:r>
      <w:r w:rsidR="001A3279" w:rsidRPr="00F804DC">
        <w:rPr>
          <w:rFonts w:ascii="Times New Roman" w:hAnsi="Times New Roman" w:cs="Times New Roman"/>
        </w:rPr>
        <w:t xml:space="preserve">-е годы прошлого столетия.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</w:t>
      </w:r>
      <w:r w:rsidR="008F4F31">
        <w:rPr>
          <w:sz w:val="24"/>
          <w:szCs w:val="24"/>
        </w:rPr>
        <w:t>8</w:t>
      </w:r>
      <w:r w:rsidR="001A3279" w:rsidRPr="00F804DC">
        <w:rPr>
          <w:sz w:val="24"/>
          <w:szCs w:val="24"/>
        </w:rPr>
        <w:t xml:space="preserve">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BE619B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BE619B">
      <w:pPr>
        <w:pStyle w:val="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8F4F31" w:rsidP="00BE619B">
      <w:pPr>
        <w:pStyle w:val="38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С.Петрово-Хутарь МО </w:t>
      </w:r>
      <w:r w:rsidR="00D01596" w:rsidRPr="00F804DC">
        <w:rPr>
          <w:sz w:val="24"/>
          <w:szCs w:val="24"/>
        </w:rPr>
        <w:t>«</w:t>
      </w:r>
      <w:r w:rsidR="00692938">
        <w:rPr>
          <w:sz w:val="24"/>
          <w:szCs w:val="24"/>
        </w:rPr>
        <w:t>Петров</w:t>
      </w:r>
      <w:r w:rsidR="00D01596" w:rsidRPr="00F804DC">
        <w:rPr>
          <w:sz w:val="24"/>
          <w:szCs w:val="24"/>
        </w:rPr>
        <w:t>ски</w:t>
      </w:r>
      <w:r w:rsidR="00D01596" w:rsidRPr="00F804DC">
        <w:rPr>
          <w:noProof/>
          <w:sz w:val="24"/>
          <w:szCs w:val="24"/>
        </w:rPr>
        <w:t>й</w:t>
      </w:r>
      <w:r w:rsidR="00D01596" w:rsidRPr="00F804DC">
        <w:rPr>
          <w:sz w:val="24"/>
          <w:szCs w:val="24"/>
        </w:rPr>
        <w:t xml:space="preserve"> сельсовет»</w:t>
      </w:r>
      <w:r w:rsidR="00D01596" w:rsidRPr="00F804DC">
        <w:rPr>
          <w:noProof/>
          <w:sz w:val="24"/>
          <w:szCs w:val="24"/>
        </w:rPr>
        <w:t xml:space="preserve"> </w:t>
      </w:r>
      <w:r w:rsidR="00D01596" w:rsidRPr="00F804DC">
        <w:rPr>
          <w:sz w:val="24"/>
          <w:szCs w:val="24"/>
        </w:rPr>
        <w:t>к системе сетевого газоснабжения подключен</w:t>
      </w:r>
      <w:r>
        <w:rPr>
          <w:sz w:val="24"/>
          <w:szCs w:val="24"/>
        </w:rPr>
        <w:t>о полностью</w:t>
      </w:r>
      <w:r w:rsidR="00D01596"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33273D" w:rsidRPr="0033273D">
        <w:rPr>
          <w:sz w:val="24"/>
          <w:szCs w:val="24"/>
        </w:rPr>
        <w:t>15</w:t>
      </w:r>
      <w:r w:rsidR="004B5C13" w:rsidRPr="0033273D">
        <w:rPr>
          <w:sz w:val="24"/>
          <w:szCs w:val="24"/>
        </w:rPr>
        <w:t>,</w:t>
      </w:r>
      <w:r w:rsidR="0033273D" w:rsidRPr="0033273D">
        <w:rPr>
          <w:sz w:val="24"/>
          <w:szCs w:val="24"/>
        </w:rPr>
        <w:t>056</w:t>
      </w:r>
      <w:r w:rsidR="00D01596" w:rsidRPr="0033273D">
        <w:rPr>
          <w:sz w:val="24"/>
          <w:szCs w:val="24"/>
        </w:rPr>
        <w:t xml:space="preserve"> км. Строительство сетей газоснабжения осуществлялось в </w:t>
      </w:r>
      <w:r w:rsidRPr="0033273D">
        <w:rPr>
          <w:sz w:val="24"/>
          <w:szCs w:val="24"/>
        </w:rPr>
        <w:t>90-е</w:t>
      </w:r>
      <w:r w:rsidR="00D01596" w:rsidRPr="0033273D">
        <w:rPr>
          <w:sz w:val="24"/>
          <w:szCs w:val="24"/>
        </w:rPr>
        <w:t xml:space="preserve"> год</w:t>
      </w:r>
      <w:r w:rsidRPr="0033273D">
        <w:rPr>
          <w:sz w:val="24"/>
          <w:szCs w:val="24"/>
        </w:rPr>
        <w:t>ы прошлого столетия</w:t>
      </w:r>
      <w:r w:rsidR="00D01596" w:rsidRPr="0033273D">
        <w:rPr>
          <w:sz w:val="24"/>
          <w:szCs w:val="24"/>
        </w:rPr>
        <w:t>. Уровень обеспеченности населения сетевым газоснабжением в</w:t>
      </w:r>
      <w:r w:rsidR="0098402E" w:rsidRPr="0033273D">
        <w:rPr>
          <w:sz w:val="24"/>
          <w:szCs w:val="24"/>
        </w:rPr>
        <w:t xml:space="preserve"> целом по</w:t>
      </w:r>
      <w:r w:rsidR="0098402E" w:rsidRPr="00F804DC">
        <w:rPr>
          <w:sz w:val="24"/>
          <w:szCs w:val="24"/>
        </w:rPr>
        <w:t xml:space="preserve"> поселению составляет </w:t>
      </w:r>
      <w:r>
        <w:rPr>
          <w:sz w:val="24"/>
          <w:szCs w:val="24"/>
        </w:rPr>
        <w:t>84</w:t>
      </w:r>
      <w:r w:rsidR="00D01596" w:rsidRPr="00F804DC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D01596" w:rsidRPr="00F804DC">
        <w:rPr>
          <w:sz w:val="24"/>
          <w:szCs w:val="24"/>
        </w:rPr>
        <w:t>%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lastRenderedPageBreak/>
        <w:t xml:space="preserve"> существующая жилая застройка;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е </w:t>
      </w:r>
      <w:r w:rsidR="004D1377" w:rsidRPr="00F804DC">
        <w:rPr>
          <w:sz w:val="24"/>
          <w:szCs w:val="24"/>
        </w:rPr>
        <w:t>сельскохозяйственн</w:t>
      </w:r>
      <w:r w:rsidR="00AB41B8">
        <w:rPr>
          <w:sz w:val="24"/>
          <w:szCs w:val="24"/>
        </w:rPr>
        <w:t>о</w:t>
      </w:r>
      <w:r w:rsidR="004D1377" w:rsidRPr="00F804DC">
        <w:rPr>
          <w:sz w:val="24"/>
          <w:szCs w:val="24"/>
        </w:rPr>
        <w:t>е</w:t>
      </w:r>
      <w:r w:rsidRPr="00F804DC">
        <w:rPr>
          <w:sz w:val="24"/>
          <w:szCs w:val="24"/>
        </w:rPr>
        <w:t xml:space="preserve"> предприяти</w:t>
      </w:r>
      <w:r w:rsidR="00AB41B8">
        <w:rPr>
          <w:sz w:val="24"/>
          <w:szCs w:val="24"/>
        </w:rPr>
        <w:t>е</w:t>
      </w:r>
      <w:r w:rsidRPr="00F804DC">
        <w:rPr>
          <w:sz w:val="24"/>
          <w:szCs w:val="24"/>
        </w:rPr>
        <w:t>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4E7461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90,89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33273D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4E7461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250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Pr="0033273D" w:rsidRDefault="0033273D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color w:val="auto"/>
              </w:rPr>
            </w:pPr>
            <w:r w:rsidRPr="0033273D">
              <w:rPr>
                <w:rStyle w:val="13"/>
                <w:color w:val="auto"/>
              </w:rPr>
              <w:t>15,056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F804DC" w:rsidRPr="00F804DC" w:rsidRDefault="00067064" w:rsidP="00AB41B8">
      <w:pPr>
        <w:pStyle w:val="31"/>
        <w:shd w:val="clear" w:color="auto" w:fill="auto"/>
        <w:spacing w:before="0" w:after="245" w:line="274" w:lineRule="exact"/>
        <w:ind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4E7461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264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8F4F31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40,495</w:t>
            </w:r>
          </w:p>
        </w:tc>
      </w:tr>
    </w:tbl>
    <w:p w:rsidR="00AA33BA" w:rsidRDefault="00AA33BA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B41B8" w:rsidRDefault="00AB41B8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BE619B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BE619B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BE619B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692938">
        <w:rPr>
          <w:sz w:val="24"/>
          <w:szCs w:val="24"/>
        </w:rPr>
        <w:t>Петров</w:t>
      </w:r>
      <w:r w:rsidR="00014862" w:rsidRPr="00F804DC">
        <w:rPr>
          <w:sz w:val="24"/>
          <w:szCs w:val="24"/>
        </w:rPr>
        <w:t>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</w:t>
      </w:r>
      <w:r w:rsidR="000712BC">
        <w:rPr>
          <w:sz w:val="24"/>
          <w:szCs w:val="24"/>
        </w:rPr>
        <w:t>нижен</w:t>
      </w:r>
      <w:r w:rsidRPr="00F804DC">
        <w:rPr>
          <w:sz w:val="24"/>
          <w:szCs w:val="24"/>
        </w:rPr>
        <w:t xml:space="preserve">ия удельных показателей энергоемкости и энергопотребления, создание условий для перевода экономики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BE619B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Совместная реализация Программы энергосбережения и энергоэффективности и </w:t>
      </w:r>
      <w:r w:rsidRPr="00F804DC">
        <w:rPr>
          <w:sz w:val="24"/>
          <w:szCs w:val="24"/>
        </w:rPr>
        <w:lastRenderedPageBreak/>
        <w:t>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BE619B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BE619B" w:rsidP="00BE619B">
      <w:pPr>
        <w:pStyle w:val="31"/>
        <w:shd w:val="clear" w:color="auto" w:fill="auto"/>
        <w:tabs>
          <w:tab w:val="left" w:pos="2656"/>
        </w:tabs>
        <w:spacing w:before="0" w:after="0" w:line="552" w:lineRule="exact"/>
        <w:jc w:val="center"/>
        <w:rPr>
          <w:b/>
        </w:rPr>
      </w:pPr>
      <w:r>
        <w:rPr>
          <w:b/>
        </w:rPr>
        <w:t>4.1.</w:t>
      </w:r>
      <w:r w:rsidR="00067064"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СанПин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BE619B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692938">
        <w:rPr>
          <w:sz w:val="24"/>
          <w:szCs w:val="24"/>
        </w:rPr>
        <w:t>Петров</w:t>
      </w:r>
      <w:r w:rsidR="00E042DF" w:rsidRPr="00F804DC">
        <w:rPr>
          <w:sz w:val="24"/>
          <w:szCs w:val="24"/>
        </w:rPr>
        <w:t>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BE619B">
      <w:pPr>
        <w:pStyle w:val="31"/>
        <w:shd w:val="clear" w:color="auto" w:fill="auto"/>
        <w:spacing w:before="0" w:after="0" w:line="240" w:lineRule="auto"/>
        <w:ind w:left="20"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BE619B">
      <w:pPr>
        <w:pStyle w:val="a7"/>
        <w:shd w:val="clear" w:color="auto" w:fill="auto"/>
        <w:spacing w:line="240" w:lineRule="auto"/>
        <w:ind w:left="20" w:right="20"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BE619B">
      <w:pPr>
        <w:pStyle w:val="a7"/>
        <w:shd w:val="clear" w:color="auto" w:fill="auto"/>
        <w:spacing w:line="210" w:lineRule="exact"/>
        <w:ind w:firstLine="567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33273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33273D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0712B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F6AC2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36392E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7D5AB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0,84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12BC">
              <w:rPr>
                <w:sz w:val="22"/>
                <w:szCs w:val="22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8,306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70D" w:rsidRPr="00A35F30">
              <w:rPr>
                <w:sz w:val="22"/>
                <w:szCs w:val="22"/>
              </w:rPr>
              <w:t>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712B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C7C51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B41B8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712B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33273D">
        <w:trPr>
          <w:trHeight w:hRule="exact" w:val="697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AD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4B45F3" w:rsidP="00254AD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54ADA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54AD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</w:tr>
      <w:tr w:rsidR="00C12510" w:rsidTr="0033273D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7408A4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6,854</w:t>
            </w:r>
          </w:p>
        </w:tc>
      </w:tr>
      <w:tr w:rsidR="00A23A1A" w:rsidTr="00A23A1A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A35F30" w:rsidRDefault="00A23A1A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A35F30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23A1A">
            <w:pPr>
              <w:jc w:val="center"/>
              <w:rPr>
                <w:sz w:val="22"/>
                <w:szCs w:val="22"/>
              </w:rPr>
            </w:pPr>
            <w:r w:rsidRPr="008D1691">
              <w:rPr>
                <w:rFonts w:ascii="Times New Roman" w:hAnsi="Times New Roman" w:cs="Times New Roman"/>
                <w:sz w:val="22"/>
                <w:szCs w:val="22"/>
              </w:rPr>
              <w:t>3,357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8D1691">
              <w:rPr>
                <w:sz w:val="22"/>
                <w:szCs w:val="22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A1A" w:rsidRPr="008D1691" w:rsidRDefault="00A23A1A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8D1691">
              <w:rPr>
                <w:sz w:val="22"/>
                <w:szCs w:val="22"/>
              </w:rPr>
              <w:t>0</w:t>
            </w:r>
          </w:p>
        </w:tc>
      </w:tr>
    </w:tbl>
    <w:p w:rsidR="0033273D" w:rsidRDefault="0033273D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</w:p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BE619B" w:rsidP="00BE619B">
      <w:pPr>
        <w:pStyle w:val="31"/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>
        <w:rPr>
          <w:b/>
        </w:rPr>
        <w:t>4.2.</w:t>
      </w:r>
      <w:r w:rsidR="00067064" w:rsidRPr="00D059E8">
        <w:rPr>
          <w:b/>
        </w:rPr>
        <w:t>Мероприятия по развитию системы водоснабжения</w:t>
      </w:r>
    </w:p>
    <w:p w:rsidR="009871D2" w:rsidRPr="001D5915" w:rsidRDefault="009871D2" w:rsidP="0033273D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>На расчетный срок предлагается выполнение следующих мероприятия</w:t>
      </w:r>
    </w:p>
    <w:p w:rsidR="0033273D" w:rsidRPr="00691025" w:rsidRDefault="0033273D" w:rsidP="0033273D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</w:t>
      </w:r>
      <w:r w:rsidRPr="00C32086">
        <w:rPr>
          <w:bCs/>
        </w:rPr>
        <w:t xml:space="preserve">обеспечение производительности водозаборных сооружений не менее </w:t>
      </w:r>
      <w:r>
        <w:rPr>
          <w:bCs/>
        </w:rPr>
        <w:t xml:space="preserve">190 </w:t>
      </w:r>
      <w:r w:rsidRPr="00C32086">
        <w:rPr>
          <w:bCs/>
        </w:rPr>
        <w:t>м</w:t>
      </w:r>
      <w:r w:rsidRPr="00497423">
        <w:rPr>
          <w:bCs/>
          <w:vertAlign w:val="superscript"/>
        </w:rPr>
        <w:t>3</w:t>
      </w:r>
      <w:r w:rsidRPr="00C32086">
        <w:rPr>
          <w:bCs/>
        </w:rPr>
        <w:t>/сутки</w:t>
      </w:r>
      <w:r>
        <w:rPr>
          <w:bCs/>
        </w:rPr>
        <w:t>, с доведением уровня оснащенности централизованного водоснабжения до 100%</w:t>
      </w:r>
      <w:r w:rsidRPr="00C32086">
        <w:rPr>
          <w:bCs/>
        </w:rPr>
        <w:t>;</w:t>
      </w:r>
    </w:p>
    <w:p w:rsidR="0033273D" w:rsidRPr="00C32086" w:rsidRDefault="0033273D" w:rsidP="0033273D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>
        <w:rPr>
          <w:bCs/>
        </w:rPr>
        <w:t>-проведение ремонтных работ сетей водоснабжения, с частичной заменой труб на современные полимерные;</w:t>
      </w:r>
    </w:p>
    <w:p w:rsidR="0033273D" w:rsidRPr="00C32086" w:rsidRDefault="0033273D" w:rsidP="0033273D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rPr>
          <w:lang w:eastAsia="ru-RU"/>
        </w:rPr>
        <w:t>-</w:t>
      </w:r>
      <w:r w:rsidRPr="00C32086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33273D" w:rsidRPr="00897958" w:rsidRDefault="0033273D" w:rsidP="0033273D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>
        <w:t>-</w:t>
      </w:r>
      <w:r w:rsidRPr="00262A8A">
        <w:t>обеспечение территорий населенных пунктов резервной емкости для целей противопожарной безопасности (54 м</w:t>
      </w:r>
      <w:r w:rsidRPr="00262A8A">
        <w:rPr>
          <w:vertAlign w:val="superscript"/>
        </w:rPr>
        <w:t>3</w:t>
      </w:r>
      <w:r>
        <w:t xml:space="preserve">). </w:t>
      </w:r>
      <w:r w:rsidRPr="00C32086">
        <w:t>Проектирование и строительство противопожарной емкости производить в соответствии с СНиП 2.04.02-84 «Водоснабжение. Наружные сети и сооружения».</w:t>
      </w:r>
    </w:p>
    <w:p w:rsidR="009871D2" w:rsidRDefault="009871D2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4.3.Мероприятия по развитию системы сбора и вывоза ТКО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Сбор и вывоз отходов и мусора от населения </w:t>
      </w:r>
      <w:r w:rsidR="00692938">
        <w:rPr>
          <w:sz w:val="24"/>
          <w:szCs w:val="24"/>
        </w:rPr>
        <w:t>Петров</w:t>
      </w:r>
      <w:r w:rsidRPr="007E211E">
        <w:rPr>
          <w:sz w:val="24"/>
          <w:szCs w:val="24"/>
        </w:rPr>
        <w:t>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</w:t>
      </w:r>
      <w:r w:rsidR="00692938">
        <w:rPr>
          <w:sz w:val="24"/>
          <w:szCs w:val="24"/>
        </w:rPr>
        <w:t>Петров</w:t>
      </w:r>
      <w:r w:rsidRPr="007E211E">
        <w:rPr>
          <w:sz w:val="24"/>
          <w:szCs w:val="24"/>
        </w:rPr>
        <w:t xml:space="preserve">ского сельсовета приобретено </w:t>
      </w:r>
      <w:r w:rsidR="009871D2">
        <w:rPr>
          <w:sz w:val="24"/>
          <w:szCs w:val="24"/>
        </w:rPr>
        <w:t>3</w:t>
      </w:r>
      <w:r w:rsidRPr="007E211E">
        <w:rPr>
          <w:sz w:val="24"/>
          <w:szCs w:val="24"/>
        </w:rPr>
        <w:t xml:space="preserve"> контейнер</w:t>
      </w:r>
      <w:r w:rsidR="009871D2">
        <w:rPr>
          <w:sz w:val="24"/>
          <w:szCs w:val="24"/>
        </w:rPr>
        <w:t>а</w:t>
      </w:r>
      <w:r w:rsidRPr="007E211E">
        <w:rPr>
          <w:sz w:val="24"/>
          <w:szCs w:val="24"/>
        </w:rPr>
        <w:t xml:space="preserve">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33273D" w:rsidRPr="007E211E" w:rsidRDefault="0033273D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lastRenderedPageBreak/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C80EF6" w:rsidRPr="006F22D9" w:rsidRDefault="009871D2" w:rsidP="006F22D9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6F22D9">
        <w:rPr>
          <w:sz w:val="24"/>
          <w:szCs w:val="24"/>
        </w:rPr>
        <w:t xml:space="preserve">Распределительные газовые сети в </w:t>
      </w:r>
      <w:r w:rsidR="00692938">
        <w:rPr>
          <w:sz w:val="24"/>
          <w:szCs w:val="24"/>
        </w:rPr>
        <w:t>Петров</w:t>
      </w:r>
      <w:r w:rsidRPr="006F22D9">
        <w:rPr>
          <w:sz w:val="24"/>
          <w:szCs w:val="24"/>
        </w:rPr>
        <w:t xml:space="preserve">ском сельсовете имеются во всех населенных пунктах поселения. Процент газификации составляет </w:t>
      </w:r>
      <w:r w:rsidR="0033273D">
        <w:rPr>
          <w:sz w:val="24"/>
          <w:szCs w:val="24"/>
        </w:rPr>
        <w:t>84</w:t>
      </w:r>
      <w:r w:rsidRPr="006F22D9">
        <w:rPr>
          <w:sz w:val="24"/>
          <w:szCs w:val="24"/>
        </w:rPr>
        <w:t>,</w:t>
      </w:r>
      <w:r w:rsidR="0033273D">
        <w:rPr>
          <w:sz w:val="24"/>
          <w:szCs w:val="24"/>
        </w:rPr>
        <w:t>6</w:t>
      </w:r>
      <w:r w:rsidRPr="006F22D9">
        <w:rPr>
          <w:sz w:val="24"/>
          <w:szCs w:val="24"/>
        </w:rPr>
        <w:t>%. Не газифицированы только жилые дома, в которых никто не проживает, а так же те в которых собственники не имеют достаточных доходов на проведение работ по газификации.</w:t>
      </w:r>
    </w:p>
    <w:p w:rsidR="006F22D9" w:rsidRPr="006F22D9" w:rsidRDefault="006F22D9" w:rsidP="006F22D9">
      <w:pPr>
        <w:ind w:firstLine="851"/>
        <w:jc w:val="both"/>
        <w:rPr>
          <w:rFonts w:ascii="Times New Roman" w:hAnsi="Times New Roman" w:cs="Times New Roman"/>
        </w:rPr>
      </w:pPr>
      <w:r w:rsidRPr="006F22D9">
        <w:rPr>
          <w:rFonts w:ascii="Times New Roman" w:hAnsi="Times New Roman" w:cs="Times New Roman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</w:t>
      </w:r>
      <w:r w:rsidR="009871D2">
        <w:rPr>
          <w:b/>
          <w:sz w:val="24"/>
          <w:szCs w:val="24"/>
        </w:rPr>
        <w:t>5</w:t>
      </w:r>
      <w:r w:rsidRPr="007E211E">
        <w:rPr>
          <w:b/>
          <w:sz w:val="24"/>
          <w:szCs w:val="24"/>
        </w:rPr>
        <w:t>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692938">
        <w:rPr>
          <w:sz w:val="24"/>
          <w:szCs w:val="24"/>
        </w:rPr>
        <w:t>Петров</w:t>
      </w:r>
      <w:r w:rsidR="00963DEE" w:rsidRPr="007E211E">
        <w:rPr>
          <w:sz w:val="24"/>
          <w:szCs w:val="24"/>
        </w:rPr>
        <w:t>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871D2" w:rsidRDefault="009871D2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</w:t>
      </w:r>
      <w:r w:rsidRPr="007E211E">
        <w:rPr>
          <w:sz w:val="24"/>
          <w:szCs w:val="24"/>
        </w:rPr>
        <w:lastRenderedPageBreak/>
        <w:t xml:space="preserve">обеспечения потребителей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692938">
        <w:t>Петров</w:t>
      </w:r>
      <w:r w:rsidR="00E042DF">
        <w:t>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66"/>
        <w:gridCol w:w="973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33273D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33273D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33273D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33273D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33273D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33273D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33273D">
              <w:t>84,6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Pr="0033273D" w:rsidRDefault="003327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273D">
              <w:rPr>
                <w:rFonts w:ascii="Times New Roman" w:hAnsi="Times New Roman" w:cs="Times New Roman"/>
                <w:sz w:val="21"/>
                <w:szCs w:val="21"/>
              </w:rPr>
              <w:t>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3D" w:rsidRDefault="0033273D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33273D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33273D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33273D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33273D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33273D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9871D2" w:rsidTr="0033273D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71D2" w:rsidRDefault="009871D2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>Доля населения, охваченного организованным сбором и вывозом отходов, в общей численности населения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0042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1D2" w:rsidRDefault="009871D2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692938">
        <w:rPr>
          <w:sz w:val="24"/>
          <w:szCs w:val="24"/>
        </w:rPr>
        <w:t>Петров</w:t>
      </w:r>
      <w:r w:rsidR="00E042DF" w:rsidRPr="007E211E">
        <w:rPr>
          <w:sz w:val="24"/>
          <w:szCs w:val="24"/>
        </w:rPr>
        <w:t>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</w:t>
      </w:r>
      <w:r w:rsidR="008D1691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</w:t>
      </w:r>
      <w:r w:rsidR="008D1691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ия социальной напряженности в обществе.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</w:t>
      </w:r>
      <w:r w:rsidR="0033273D">
        <w:rPr>
          <w:sz w:val="24"/>
          <w:szCs w:val="24"/>
        </w:rPr>
        <w:t>нижен</w:t>
      </w:r>
      <w:r w:rsidRPr="007E211E">
        <w:rPr>
          <w:sz w:val="24"/>
          <w:szCs w:val="24"/>
        </w:rPr>
        <w:t>ие потребления электроэнергии.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E619B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8" w:firstLine="56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BE619B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E619B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E619B">
      <w:pPr>
        <w:pStyle w:val="31"/>
        <w:shd w:val="clear" w:color="auto" w:fill="auto"/>
        <w:spacing w:before="0" w:after="0" w:line="240" w:lineRule="auto"/>
        <w:ind w:right="20" w:firstLine="567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692938">
        <w:rPr>
          <w:sz w:val="24"/>
        </w:rPr>
        <w:t>Петров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A061F4" w:rsidRPr="002C2926" w:rsidRDefault="00067064" w:rsidP="00A061F4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CC23B7">
        <w:rPr>
          <w:b/>
          <w:szCs w:val="28"/>
        </w:rPr>
        <w:t xml:space="preserve">ПЕРЕЧЕНЬ ОСНОВНЫХ МЕРОПРИЯТИЙ МУНИЦИПАЛЬНОЙ ПРОГРАММЫ </w:t>
      </w:r>
      <w:r w:rsidR="00A061F4" w:rsidRPr="002C2926">
        <w:rPr>
          <w:b/>
          <w:szCs w:val="28"/>
        </w:rPr>
        <w:t>КОМПЛЕКСНОГО РАЗВИТИЯ СИСТЕМ КОММУНАЛЬНОЙ ИНФРАСТРУКТУРЫ МУНИЦИПАЛЬНОГО ОБРАЗОВАНИЯ «П</w:t>
      </w:r>
      <w:r w:rsidR="00A061F4">
        <w:rPr>
          <w:b/>
          <w:szCs w:val="28"/>
        </w:rPr>
        <w:t>ЕТ</w:t>
      </w:r>
      <w:r w:rsidR="00A061F4" w:rsidRPr="002C2926">
        <w:rPr>
          <w:b/>
          <w:szCs w:val="28"/>
        </w:rPr>
        <w:t xml:space="preserve">РОВСКИЙ СЕЛЬСОВЕТ» ЧЕРЕМИСИНОВСКОГО РАЙОНА КУРСКОЙ ОБЛАСТИ НА </w:t>
      </w:r>
      <w:r w:rsidR="00A061F4" w:rsidRPr="002C2926">
        <w:rPr>
          <w:rStyle w:val="aa"/>
          <w:i w:val="0"/>
          <w:sz w:val="28"/>
          <w:szCs w:val="28"/>
        </w:rPr>
        <w:t>2024-2031</w:t>
      </w:r>
      <w:r w:rsidR="00A061F4"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33273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23B7" w:rsidRPr="00CC23B7">
              <w:rPr>
                <w:sz w:val="24"/>
                <w:szCs w:val="24"/>
              </w:rPr>
              <w:t>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23B7" w:rsidRPr="00CC23B7">
              <w:rPr>
                <w:sz w:val="24"/>
                <w:szCs w:val="24"/>
              </w:rPr>
              <w:t>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3112A9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3B7" w:rsidRPr="00CC23B7">
              <w:rPr>
                <w:rFonts w:ascii="Times New Roman" w:hAnsi="Times New Roman" w:cs="Times New Roman"/>
              </w:rPr>
              <w:t>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33273D" w:rsidRPr="000D7CC2" w:rsidTr="0033273D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16607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9828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BE619B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33273D" w:rsidRPr="000D7CC2" w:rsidTr="0033273D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8B05B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3D" w:rsidRPr="00CC23B7" w:rsidRDefault="0033273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Pr="00CC23B7" w:rsidRDefault="0033273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112A9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273D" w:rsidRDefault="0033273D" w:rsidP="0033273D">
            <w:pPr>
              <w:jc w:val="center"/>
            </w:pPr>
            <w:r w:rsidRPr="00D74AF2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E26C3" w:rsidRDefault="005E26C3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lastRenderedPageBreak/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692938">
        <w:rPr>
          <w:sz w:val="24"/>
        </w:rPr>
        <w:t>Петров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</w:t>
      </w:r>
      <w:r w:rsidR="00692938">
        <w:rPr>
          <w:rFonts w:ascii="Times New Roman" w:hAnsi="Times New Roman" w:cs="Times New Roman"/>
          <w:b/>
          <w:sz w:val="28"/>
          <w:szCs w:val="28"/>
        </w:rPr>
        <w:t>Петров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692938">
              <w:rPr>
                <w:rFonts w:ascii="Times New Roman" w:hAnsi="Times New Roman" w:cs="Times New Roman"/>
              </w:rPr>
              <w:t>Петров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3112A9" w:rsidP="003112A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576364" w:rsidP="009770A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42</w:t>
            </w:r>
            <w:r w:rsidR="00BD11F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3E0397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3E0397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3E0397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97" w:rsidRPr="00AF0267" w:rsidRDefault="003E0397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3E0397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57636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3E0397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D41F54">
              <w:rPr>
                <w:rFonts w:ascii="Times New Roman" w:eastAsia="Times New Roman" w:hAnsi="Times New Roman" w:cs="Times New Roman"/>
                <w:lang w:bidi="ar-SA"/>
              </w:rPr>
              <w:t>20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3E0397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97" w:rsidRPr="00AF0267" w:rsidRDefault="003E0397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39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3E0397" w:rsidRPr="00AF0267" w:rsidRDefault="003E0397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397" w:rsidRPr="00840E98" w:rsidRDefault="003E0397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23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CC23B7" w:rsidRDefault="00FA306E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18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71334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9770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D1691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691" w:rsidRPr="00AF0267" w:rsidRDefault="008D1691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691" w:rsidRPr="00AF0267" w:rsidRDefault="008D1691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691" w:rsidRPr="00AF0267" w:rsidRDefault="008D1691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004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Default="008D1691" w:rsidP="000042D3">
            <w:pPr>
              <w:jc w:val="center"/>
            </w:pPr>
            <w:r w:rsidRPr="004F034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691" w:rsidRPr="00CC23B7" w:rsidRDefault="008D1691" w:rsidP="00642C1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691" w:rsidRPr="00840E98" w:rsidRDefault="008D1691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160,00</w:t>
            </w:r>
          </w:p>
        </w:tc>
      </w:tr>
      <w:tr w:rsidR="00FA306E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06E" w:rsidRPr="00AF0267" w:rsidRDefault="00FA306E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06E" w:rsidRPr="00AF0267" w:rsidRDefault="00FA306E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06E" w:rsidRPr="00AF0267" w:rsidRDefault="00FA306E" w:rsidP="000042D3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06E" w:rsidRPr="00840E98" w:rsidRDefault="00FA306E" w:rsidP="000042D3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06E" w:rsidRPr="00840E98" w:rsidRDefault="00FA306E" w:rsidP="000042D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21" w:rsidRDefault="00326721" w:rsidP="002A60BF">
      <w:r>
        <w:separator/>
      </w:r>
    </w:p>
  </w:endnote>
  <w:endnote w:type="continuationSeparator" w:id="1">
    <w:p w:rsidR="00326721" w:rsidRDefault="00326721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21" w:rsidRDefault="00326721"/>
  </w:footnote>
  <w:footnote w:type="continuationSeparator" w:id="1">
    <w:p w:rsidR="00326721" w:rsidRDefault="003267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C63656">
    <w:pPr>
      <w:rPr>
        <w:sz w:val="2"/>
        <w:szCs w:val="2"/>
      </w:rPr>
    </w:pPr>
    <w:r w:rsidRPr="00C636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619B" w:rsidRDefault="00BE619B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19B" w:rsidRDefault="00BE61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114EA"/>
    <w:rsid w:val="00014862"/>
    <w:rsid w:val="00017BF9"/>
    <w:rsid w:val="00022CFC"/>
    <w:rsid w:val="00050710"/>
    <w:rsid w:val="0005331B"/>
    <w:rsid w:val="0005393C"/>
    <w:rsid w:val="00067064"/>
    <w:rsid w:val="000712BC"/>
    <w:rsid w:val="00092546"/>
    <w:rsid w:val="00094E82"/>
    <w:rsid w:val="000B393B"/>
    <w:rsid w:val="000C3CCC"/>
    <w:rsid w:val="000C7535"/>
    <w:rsid w:val="000D7CC2"/>
    <w:rsid w:val="00144286"/>
    <w:rsid w:val="0015414E"/>
    <w:rsid w:val="00172FF9"/>
    <w:rsid w:val="00182CB8"/>
    <w:rsid w:val="00185AED"/>
    <w:rsid w:val="001A0887"/>
    <w:rsid w:val="001A3279"/>
    <w:rsid w:val="001A6A6E"/>
    <w:rsid w:val="001B6D5B"/>
    <w:rsid w:val="001C3C15"/>
    <w:rsid w:val="001C4700"/>
    <w:rsid w:val="00214A74"/>
    <w:rsid w:val="00231209"/>
    <w:rsid w:val="00231990"/>
    <w:rsid w:val="00231C03"/>
    <w:rsid w:val="00254ADA"/>
    <w:rsid w:val="00262CDE"/>
    <w:rsid w:val="00265C19"/>
    <w:rsid w:val="0027170D"/>
    <w:rsid w:val="002733A5"/>
    <w:rsid w:val="002A1D37"/>
    <w:rsid w:val="002A60BF"/>
    <w:rsid w:val="002A7055"/>
    <w:rsid w:val="002B11F0"/>
    <w:rsid w:val="002B4BC3"/>
    <w:rsid w:val="002E02D5"/>
    <w:rsid w:val="003112A9"/>
    <w:rsid w:val="00326721"/>
    <w:rsid w:val="0033273D"/>
    <w:rsid w:val="0036392E"/>
    <w:rsid w:val="003A0C15"/>
    <w:rsid w:val="003B4650"/>
    <w:rsid w:val="003B5FC0"/>
    <w:rsid w:val="003D11B2"/>
    <w:rsid w:val="003D1BCC"/>
    <w:rsid w:val="003E0397"/>
    <w:rsid w:val="003F1EC4"/>
    <w:rsid w:val="004010F3"/>
    <w:rsid w:val="00414B61"/>
    <w:rsid w:val="00471CA9"/>
    <w:rsid w:val="004807BB"/>
    <w:rsid w:val="00491B1C"/>
    <w:rsid w:val="0049729C"/>
    <w:rsid w:val="004A5C2E"/>
    <w:rsid w:val="004A63D6"/>
    <w:rsid w:val="004B45F3"/>
    <w:rsid w:val="004B5C13"/>
    <w:rsid w:val="004C168C"/>
    <w:rsid w:val="004C7C51"/>
    <w:rsid w:val="004D1377"/>
    <w:rsid w:val="004E7461"/>
    <w:rsid w:val="0050295C"/>
    <w:rsid w:val="0051474D"/>
    <w:rsid w:val="005256AB"/>
    <w:rsid w:val="00561117"/>
    <w:rsid w:val="00574665"/>
    <w:rsid w:val="00574CA6"/>
    <w:rsid w:val="00576364"/>
    <w:rsid w:val="005873A1"/>
    <w:rsid w:val="00592452"/>
    <w:rsid w:val="005A3EDF"/>
    <w:rsid w:val="005E26C3"/>
    <w:rsid w:val="006001B0"/>
    <w:rsid w:val="006065C6"/>
    <w:rsid w:val="006156C3"/>
    <w:rsid w:val="006270D7"/>
    <w:rsid w:val="00644263"/>
    <w:rsid w:val="00653C8E"/>
    <w:rsid w:val="00663BC0"/>
    <w:rsid w:val="00692938"/>
    <w:rsid w:val="006D01D9"/>
    <w:rsid w:val="006D51D2"/>
    <w:rsid w:val="006E6C13"/>
    <w:rsid w:val="006E740F"/>
    <w:rsid w:val="006F22D9"/>
    <w:rsid w:val="00703356"/>
    <w:rsid w:val="0071383B"/>
    <w:rsid w:val="007277C2"/>
    <w:rsid w:val="00730906"/>
    <w:rsid w:val="007408A4"/>
    <w:rsid w:val="0074513E"/>
    <w:rsid w:val="0079569E"/>
    <w:rsid w:val="007C0666"/>
    <w:rsid w:val="007D5ABB"/>
    <w:rsid w:val="007E0022"/>
    <w:rsid w:val="007E211E"/>
    <w:rsid w:val="00825BB7"/>
    <w:rsid w:val="00833A2F"/>
    <w:rsid w:val="00840E98"/>
    <w:rsid w:val="00871670"/>
    <w:rsid w:val="008B2720"/>
    <w:rsid w:val="008B2E72"/>
    <w:rsid w:val="008C0A96"/>
    <w:rsid w:val="008C6E6C"/>
    <w:rsid w:val="008D0F70"/>
    <w:rsid w:val="008D1691"/>
    <w:rsid w:val="008F4F31"/>
    <w:rsid w:val="00943F46"/>
    <w:rsid w:val="00963DEE"/>
    <w:rsid w:val="009770AA"/>
    <w:rsid w:val="009823D9"/>
    <w:rsid w:val="0098402E"/>
    <w:rsid w:val="009871D2"/>
    <w:rsid w:val="009A6A45"/>
    <w:rsid w:val="009C738E"/>
    <w:rsid w:val="009E3100"/>
    <w:rsid w:val="00A061F4"/>
    <w:rsid w:val="00A22A94"/>
    <w:rsid w:val="00A23A1A"/>
    <w:rsid w:val="00A35F30"/>
    <w:rsid w:val="00A663D3"/>
    <w:rsid w:val="00A814FE"/>
    <w:rsid w:val="00A86434"/>
    <w:rsid w:val="00A86567"/>
    <w:rsid w:val="00A96EC0"/>
    <w:rsid w:val="00AA0F0D"/>
    <w:rsid w:val="00AA33BA"/>
    <w:rsid w:val="00AA7A2E"/>
    <w:rsid w:val="00AB41B8"/>
    <w:rsid w:val="00AC06B1"/>
    <w:rsid w:val="00AC1A15"/>
    <w:rsid w:val="00AC3059"/>
    <w:rsid w:val="00AD0567"/>
    <w:rsid w:val="00AF0267"/>
    <w:rsid w:val="00AF5E0A"/>
    <w:rsid w:val="00B01677"/>
    <w:rsid w:val="00B02C09"/>
    <w:rsid w:val="00B07E3C"/>
    <w:rsid w:val="00B26BBA"/>
    <w:rsid w:val="00B3566F"/>
    <w:rsid w:val="00B46F35"/>
    <w:rsid w:val="00B62C28"/>
    <w:rsid w:val="00B727C1"/>
    <w:rsid w:val="00B808D4"/>
    <w:rsid w:val="00BA3721"/>
    <w:rsid w:val="00BB54C9"/>
    <w:rsid w:val="00BD11FA"/>
    <w:rsid w:val="00BD79A8"/>
    <w:rsid w:val="00BE619B"/>
    <w:rsid w:val="00C12510"/>
    <w:rsid w:val="00C44A8D"/>
    <w:rsid w:val="00C61243"/>
    <w:rsid w:val="00C63656"/>
    <w:rsid w:val="00C705A4"/>
    <w:rsid w:val="00C718C5"/>
    <w:rsid w:val="00C80EF6"/>
    <w:rsid w:val="00C96034"/>
    <w:rsid w:val="00CA0CAA"/>
    <w:rsid w:val="00CA2D14"/>
    <w:rsid w:val="00CB7B53"/>
    <w:rsid w:val="00CC23B7"/>
    <w:rsid w:val="00CC3F26"/>
    <w:rsid w:val="00CF6AC2"/>
    <w:rsid w:val="00D01596"/>
    <w:rsid w:val="00D059E8"/>
    <w:rsid w:val="00D41F54"/>
    <w:rsid w:val="00D85BBB"/>
    <w:rsid w:val="00DA76F9"/>
    <w:rsid w:val="00E042DF"/>
    <w:rsid w:val="00E16769"/>
    <w:rsid w:val="00E262CC"/>
    <w:rsid w:val="00E4578F"/>
    <w:rsid w:val="00E470C8"/>
    <w:rsid w:val="00E54F80"/>
    <w:rsid w:val="00E71DFF"/>
    <w:rsid w:val="00E801C9"/>
    <w:rsid w:val="00E924E3"/>
    <w:rsid w:val="00EC5A89"/>
    <w:rsid w:val="00EE07A8"/>
    <w:rsid w:val="00EF07FE"/>
    <w:rsid w:val="00F00066"/>
    <w:rsid w:val="00F14330"/>
    <w:rsid w:val="00F33F17"/>
    <w:rsid w:val="00F352B2"/>
    <w:rsid w:val="00F5049E"/>
    <w:rsid w:val="00F663EC"/>
    <w:rsid w:val="00F804DC"/>
    <w:rsid w:val="00F80D1F"/>
    <w:rsid w:val="00F81DB6"/>
    <w:rsid w:val="00FA306E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9871D2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D167C-72A8-451B-814A-10998E9C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24</cp:revision>
  <cp:lastPrinted>2023-12-22T08:06:00Z</cp:lastPrinted>
  <dcterms:created xsi:type="dcterms:W3CDTF">2023-11-21T13:09:00Z</dcterms:created>
  <dcterms:modified xsi:type="dcterms:W3CDTF">2023-12-22T08:06:00Z</dcterms:modified>
</cp:coreProperties>
</file>